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6" w:rsidRDefault="004D50B6" w:rsidP="008F70B5">
      <w:pPr>
        <w:rPr>
          <w:b/>
        </w:rPr>
      </w:pPr>
    </w:p>
    <w:p w:rsidR="008F70B5" w:rsidRDefault="00626304" w:rsidP="008F70B5">
      <w:pPr>
        <w:pStyle w:val="ListParagraph"/>
        <w:numPr>
          <w:ilvl w:val="0"/>
          <w:numId w:val="5"/>
        </w:numPr>
      </w:pPr>
      <w:r w:rsidRPr="00072CD8">
        <w:rPr>
          <w:b/>
        </w:rPr>
        <w:t>Description of equipment</w:t>
      </w:r>
      <w:r>
        <w:t xml:space="preserve">, </w:t>
      </w:r>
      <w:r w:rsidRPr="00072CD8">
        <w:rPr>
          <w:i/>
          <w:sz w:val="22"/>
          <w:szCs w:val="22"/>
        </w:rPr>
        <w:t xml:space="preserve">including </w:t>
      </w:r>
      <w:r w:rsidR="00072CD8" w:rsidRPr="00072CD8">
        <w:rPr>
          <w:i/>
          <w:sz w:val="22"/>
          <w:szCs w:val="22"/>
        </w:rPr>
        <w:t>operating parameters (energy</w:t>
      </w:r>
      <w:r w:rsidRPr="00072CD8">
        <w:rPr>
          <w:i/>
          <w:sz w:val="22"/>
          <w:szCs w:val="22"/>
        </w:rPr>
        <w:t>, amperage, etc.)</w:t>
      </w:r>
    </w:p>
    <w:p w:rsidR="008F70B5" w:rsidRDefault="008F70B5" w:rsidP="008F70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8F70B5" w:rsidRPr="00D6278F" w:rsidTr="00C14FA8">
        <w:tc>
          <w:tcPr>
            <w:tcW w:w="9350" w:type="dxa"/>
            <w:gridSpan w:val="2"/>
          </w:tcPr>
          <w:p w:rsidR="008F70B5" w:rsidRPr="00D6278F" w:rsidRDefault="008F70B5" w:rsidP="00942B65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Accelerator Description</w:t>
            </w:r>
          </w:p>
        </w:tc>
      </w:tr>
      <w:tr w:rsidR="008F70B5" w:rsidTr="00C14FA8">
        <w:tc>
          <w:tcPr>
            <w:tcW w:w="6025" w:type="dxa"/>
          </w:tcPr>
          <w:p w:rsidR="008F70B5" w:rsidRPr="00D81DD2" w:rsidRDefault="00F24100" w:rsidP="00942B65">
            <w:pPr>
              <w:ind w:left="360" w:hanging="360"/>
              <w:rPr>
                <w:b/>
              </w:rPr>
            </w:pPr>
            <w:r>
              <w:rPr>
                <w:b/>
              </w:rPr>
              <w:t>Description</w:t>
            </w:r>
          </w:p>
          <w:p w:rsidR="006B1E3E" w:rsidRDefault="006B1E3E" w:rsidP="00D81DD2">
            <w:pPr>
              <w:ind w:left="360" w:hanging="23"/>
            </w:pPr>
            <w:r w:rsidRPr="0090737E">
              <w:t>Linear Electrostatic Ion Accelerator</w:t>
            </w:r>
          </w:p>
          <w:p w:rsidR="00D81DD2" w:rsidRDefault="006B1E3E" w:rsidP="00D81DD2">
            <w:pPr>
              <w:ind w:left="360" w:hanging="23"/>
            </w:pPr>
            <w:r>
              <w:t>(</w:t>
            </w:r>
            <w:r w:rsidR="0090737E">
              <w:t xml:space="preserve">Modified </w:t>
            </w:r>
            <w:proofErr w:type="spellStart"/>
            <w:r w:rsidR="0090737E">
              <w:t>Crockoff</w:t>
            </w:r>
            <w:proofErr w:type="spellEnd"/>
            <w:r w:rsidR="0090737E">
              <w:t>-Walton deuteron accelerator</w:t>
            </w:r>
            <w:r>
              <w:t>)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3325" w:type="dxa"/>
          </w:tcPr>
          <w:p w:rsidR="008F70B5" w:rsidRDefault="008F70B5" w:rsidP="00942B65">
            <w:pPr>
              <w:ind w:left="360" w:hanging="360"/>
            </w:pPr>
            <w:r>
              <w:t>Manufacturer</w:t>
            </w:r>
          </w:p>
          <w:p w:rsidR="008F70B5" w:rsidRDefault="00B16478" w:rsidP="00B16478">
            <w:pPr>
              <w:ind w:left="360" w:hanging="360"/>
            </w:pPr>
            <w:r>
              <w:t>In-house</w:t>
            </w:r>
          </w:p>
        </w:tc>
      </w:tr>
      <w:tr w:rsidR="008F70B5" w:rsidTr="00C14FA8">
        <w:tc>
          <w:tcPr>
            <w:tcW w:w="6025" w:type="dxa"/>
          </w:tcPr>
          <w:p w:rsidR="008F70B5" w:rsidRPr="00F24100" w:rsidRDefault="008F70B5" w:rsidP="00942B65">
            <w:pPr>
              <w:ind w:left="360" w:hanging="360"/>
              <w:rPr>
                <w:b/>
              </w:rPr>
            </w:pPr>
            <w:r w:rsidRPr="00F24100">
              <w:rPr>
                <w:b/>
              </w:rPr>
              <w:t>Equipment Name</w:t>
            </w:r>
          </w:p>
          <w:p w:rsidR="00F24100" w:rsidRDefault="0090737E" w:rsidP="00F24100">
            <w:pPr>
              <w:ind w:left="360" w:hanging="23"/>
            </w:pPr>
            <w:r w:rsidRPr="0090737E">
              <w:t>MIT Linear Electrostatic Ion Accelerator (LEIA)</w:t>
            </w:r>
          </w:p>
          <w:p w:rsidR="008F70B5" w:rsidRDefault="008F70B5" w:rsidP="00942B65">
            <w:pPr>
              <w:ind w:left="360" w:hanging="360"/>
            </w:pPr>
          </w:p>
        </w:tc>
        <w:tc>
          <w:tcPr>
            <w:tcW w:w="3325" w:type="dxa"/>
          </w:tcPr>
          <w:p w:rsidR="008F70B5" w:rsidRDefault="008F70B5" w:rsidP="00942B65">
            <w:pPr>
              <w:ind w:left="360" w:hanging="360"/>
            </w:pPr>
            <w:r>
              <w:t>Date of Manufacture</w:t>
            </w:r>
          </w:p>
          <w:p w:rsidR="006B1E3E" w:rsidRDefault="006B1E3E" w:rsidP="006B1E3E">
            <w:r>
              <w:t>Initially ~1990s, with continuous upgrades</w:t>
            </w:r>
          </w:p>
        </w:tc>
      </w:tr>
      <w:tr w:rsidR="008F70B5" w:rsidTr="00C14FA8">
        <w:tc>
          <w:tcPr>
            <w:tcW w:w="6025" w:type="dxa"/>
          </w:tcPr>
          <w:p w:rsidR="008F70B5" w:rsidRDefault="008F70B5" w:rsidP="00942B65">
            <w:pPr>
              <w:ind w:left="360" w:hanging="360"/>
            </w:pPr>
            <w:r>
              <w:t>Model Number</w:t>
            </w:r>
          </w:p>
          <w:p w:rsidR="008F70B5" w:rsidRDefault="006B1E3E" w:rsidP="00942B65">
            <w:pPr>
              <w:ind w:left="360" w:hanging="360"/>
            </w:pPr>
            <w:r>
              <w:t>N/A</w:t>
            </w:r>
          </w:p>
        </w:tc>
        <w:tc>
          <w:tcPr>
            <w:tcW w:w="3325" w:type="dxa"/>
          </w:tcPr>
          <w:p w:rsidR="008F70B5" w:rsidRDefault="008F70B5" w:rsidP="00942B65">
            <w:pPr>
              <w:ind w:left="360" w:hanging="360"/>
            </w:pPr>
            <w:r>
              <w:t>Date of Installation</w:t>
            </w:r>
          </w:p>
          <w:p w:rsidR="006B1E3E" w:rsidRDefault="006B1E3E" w:rsidP="00942B65">
            <w:pPr>
              <w:ind w:left="360" w:hanging="360"/>
            </w:pPr>
            <w:r>
              <w:t>~1990</w:t>
            </w:r>
          </w:p>
        </w:tc>
      </w:tr>
      <w:tr w:rsidR="008F70B5" w:rsidTr="00C14FA8">
        <w:tc>
          <w:tcPr>
            <w:tcW w:w="6025" w:type="dxa"/>
          </w:tcPr>
          <w:p w:rsidR="008F70B5" w:rsidRDefault="008F70B5" w:rsidP="00942B65">
            <w:pPr>
              <w:ind w:left="360" w:hanging="360"/>
            </w:pPr>
            <w:r>
              <w:t>Serial Number</w:t>
            </w:r>
          </w:p>
          <w:p w:rsidR="008F70B5" w:rsidRDefault="006B1E3E" w:rsidP="00942B65">
            <w:pPr>
              <w:ind w:left="360" w:hanging="360"/>
            </w:pPr>
            <w:r>
              <w:t>N/A</w:t>
            </w:r>
          </w:p>
        </w:tc>
        <w:tc>
          <w:tcPr>
            <w:tcW w:w="3325" w:type="dxa"/>
          </w:tcPr>
          <w:p w:rsidR="008F70B5" w:rsidRDefault="008F70B5" w:rsidP="00942B65">
            <w:pPr>
              <w:ind w:left="360" w:hanging="360"/>
            </w:pPr>
            <w:r>
              <w:t>MIT Property Tag Number</w:t>
            </w:r>
          </w:p>
          <w:p w:rsidR="008F70B5" w:rsidRDefault="006B1E3E" w:rsidP="006B1E3E">
            <w:pPr>
              <w:ind w:left="360" w:hanging="360"/>
            </w:pPr>
            <w:r>
              <w:t>N/A</w:t>
            </w:r>
          </w:p>
        </w:tc>
      </w:tr>
    </w:tbl>
    <w:p w:rsidR="00626304" w:rsidRDefault="00626304" w:rsidP="00626304">
      <w:pPr>
        <w:ind w:left="36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231"/>
      </w:tblGrid>
      <w:tr w:rsidR="00072CD8" w:rsidRPr="00D6278F" w:rsidTr="00644FB5">
        <w:tc>
          <w:tcPr>
            <w:tcW w:w="9576" w:type="dxa"/>
            <w:gridSpan w:val="2"/>
          </w:tcPr>
          <w:p w:rsidR="00072CD8" w:rsidRPr="00072CD8" w:rsidRDefault="00072CD8" w:rsidP="00942B65">
            <w:pPr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072CD8">
              <w:rPr>
                <w:b/>
                <w:sz w:val="28"/>
                <w:szCs w:val="28"/>
              </w:rPr>
              <w:t>Accelerator Properties</w:t>
            </w:r>
          </w:p>
        </w:tc>
      </w:tr>
      <w:tr w:rsidR="00072CD8" w:rsidRPr="00D6278F" w:rsidTr="00072CD8">
        <w:tc>
          <w:tcPr>
            <w:tcW w:w="3168" w:type="dxa"/>
          </w:tcPr>
          <w:p w:rsidR="00072CD8" w:rsidRDefault="00072CD8" w:rsidP="005972BB">
            <w:r>
              <w:t>Accelerator Type and mode of acceleration</w:t>
            </w:r>
          </w:p>
        </w:tc>
        <w:tc>
          <w:tcPr>
            <w:tcW w:w="6408" w:type="dxa"/>
          </w:tcPr>
          <w:p w:rsidR="00072CD8" w:rsidRPr="00F24100" w:rsidRDefault="006B1E3E" w:rsidP="006B1E3E">
            <w:pPr>
              <w:ind w:left="360" w:hanging="360"/>
              <w:rPr>
                <w:sz w:val="28"/>
                <w:szCs w:val="28"/>
              </w:rPr>
            </w:pPr>
            <w:r>
              <w:t>Linear electrostatic potential drop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C6188B">
            <w:pPr>
              <w:ind w:left="360" w:hanging="360"/>
            </w:pPr>
            <w:r>
              <w:t>Particle accelerated</w:t>
            </w:r>
          </w:p>
          <w:p w:rsidR="00072CD8" w:rsidRDefault="00072CD8" w:rsidP="00C6188B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6B1E3E" w:rsidP="006B1E3E">
            <w:pPr>
              <w:ind w:left="360" w:hanging="360"/>
            </w:pPr>
            <w:r>
              <w:t xml:space="preserve">Deuterium, rarely He-3 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7416F3">
            <w:pPr>
              <w:ind w:left="360" w:hanging="360"/>
            </w:pPr>
            <w:r>
              <w:t>Particle (Beam) Energy (MeV)</w:t>
            </w:r>
          </w:p>
          <w:p w:rsidR="00072CD8" w:rsidRDefault="00072CD8" w:rsidP="007416F3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  <w:r>
              <w:t>Maximum</w:t>
            </w:r>
            <w:r w:rsidR="00F24100">
              <w:t>: 150 kV</w:t>
            </w:r>
          </w:p>
          <w:p w:rsidR="00072CD8" w:rsidRDefault="00072CD8" w:rsidP="006B1E3E">
            <w:pPr>
              <w:ind w:left="360" w:hanging="360"/>
            </w:pPr>
            <w:r>
              <w:t>Nominal</w:t>
            </w:r>
            <w:r w:rsidR="00F24100">
              <w:t xml:space="preserve">: </w:t>
            </w:r>
            <w:r w:rsidR="006B1E3E">
              <w:t>135</w:t>
            </w:r>
            <w:r w:rsidR="00F24100">
              <w:t xml:space="preserve"> kV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4C11EF">
            <w:pPr>
              <w:ind w:left="360" w:hanging="360"/>
            </w:pPr>
            <w:r>
              <w:t>Continuous or Pulsed</w:t>
            </w:r>
          </w:p>
          <w:p w:rsidR="00072CD8" w:rsidRDefault="00072CD8" w:rsidP="004C11EF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F24100" w:rsidP="008F70B5">
            <w:pPr>
              <w:ind w:left="360" w:hanging="360"/>
            </w:pPr>
            <w:r>
              <w:t>Continuous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8F70B5">
            <w:pPr>
              <w:ind w:left="360" w:hanging="360"/>
            </w:pPr>
            <w:r>
              <w:t>Beam Current/pulse (mA)</w:t>
            </w:r>
          </w:p>
          <w:p w:rsidR="00072CD8" w:rsidRDefault="00072CD8" w:rsidP="008F70B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072CD8" w:rsidP="00942B65">
            <w:pPr>
              <w:ind w:left="360" w:hanging="360"/>
            </w:pPr>
            <w:r>
              <w:t>Maximum</w:t>
            </w:r>
            <w:r w:rsidR="00F24100">
              <w:t xml:space="preserve">: </w:t>
            </w:r>
            <w:r w:rsidR="00B16478">
              <w:t>N/A</w:t>
            </w:r>
          </w:p>
          <w:p w:rsidR="00072CD8" w:rsidRDefault="00072CD8" w:rsidP="00942B65">
            <w:pPr>
              <w:ind w:left="360" w:hanging="360"/>
            </w:pPr>
            <w:r>
              <w:t>Nominal</w:t>
            </w:r>
            <w:r w:rsidR="006B1E3E">
              <w:t xml:space="preserve">: 10 </w:t>
            </w:r>
            <w:proofErr w:type="spellStart"/>
            <w:r w:rsidR="006B1E3E">
              <w:t>uA</w:t>
            </w:r>
            <w:proofErr w:type="spellEnd"/>
          </w:p>
        </w:tc>
      </w:tr>
      <w:tr w:rsidR="00072CD8" w:rsidTr="00072CD8">
        <w:tc>
          <w:tcPr>
            <w:tcW w:w="3168" w:type="dxa"/>
          </w:tcPr>
          <w:p w:rsidR="00072CD8" w:rsidRDefault="00072CD8" w:rsidP="008F70B5">
            <w:pPr>
              <w:ind w:left="360" w:hanging="360"/>
            </w:pPr>
            <w:r>
              <w:t>Pulse Rate (Hz)</w:t>
            </w:r>
          </w:p>
          <w:p w:rsidR="00072CD8" w:rsidRDefault="00072CD8" w:rsidP="008F70B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C14FA8" w:rsidP="00942B65">
            <w:pPr>
              <w:ind w:left="360" w:hanging="360"/>
            </w:pPr>
            <w:r>
              <w:t>N/A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942B65">
            <w:pPr>
              <w:ind w:left="360" w:hanging="360"/>
            </w:pPr>
            <w:r>
              <w:t>Beam Pulse width (</w:t>
            </w:r>
            <w:proofErr w:type="spellStart"/>
            <w:r>
              <w:t>usec</w:t>
            </w:r>
            <w:proofErr w:type="spellEnd"/>
            <w:r>
              <w:t>)</w:t>
            </w:r>
          </w:p>
          <w:p w:rsidR="00072CD8" w:rsidRDefault="00072CD8" w:rsidP="00942B65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C14FA8" w:rsidP="00C14FA8">
            <w:pPr>
              <w:ind w:left="360" w:hanging="360"/>
            </w:pPr>
            <w:r>
              <w:t>N/A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6A27C6">
            <w:pPr>
              <w:ind w:left="360" w:hanging="360"/>
            </w:pPr>
            <w:r>
              <w:t>Target Material</w:t>
            </w:r>
          </w:p>
          <w:p w:rsidR="00072CD8" w:rsidRDefault="00072CD8" w:rsidP="006A27C6">
            <w:pPr>
              <w:ind w:left="360" w:hanging="360"/>
            </w:pPr>
          </w:p>
        </w:tc>
        <w:tc>
          <w:tcPr>
            <w:tcW w:w="6408" w:type="dxa"/>
          </w:tcPr>
          <w:p w:rsidR="00072CD8" w:rsidRDefault="00FB21D0" w:rsidP="00B16478">
            <w:pPr>
              <w:ind w:left="360" w:hanging="360"/>
            </w:pPr>
            <w:r>
              <w:t>ErD</w:t>
            </w:r>
            <w:r>
              <w:rPr>
                <w:vertAlign w:val="subscript"/>
              </w:rPr>
              <w:t>2</w:t>
            </w:r>
            <w:r w:rsidR="000170E0">
              <w:t xml:space="preserve"> and ErT</w:t>
            </w:r>
            <w:r w:rsidR="000170E0">
              <w:rPr>
                <w:vertAlign w:val="subscript"/>
              </w:rPr>
              <w:t>2</w:t>
            </w:r>
            <w:r w:rsidR="000170E0">
              <w:t xml:space="preserve"> (Est. Feb/2016)</w:t>
            </w:r>
            <w:r w:rsidR="00B16478">
              <w:t>. He-3 is implanted into ErD</w:t>
            </w:r>
            <w:r w:rsidR="00B16478">
              <w:rPr>
                <w:vertAlign w:val="subscript"/>
              </w:rPr>
              <w:t>2</w:t>
            </w:r>
          </w:p>
          <w:p w:rsidR="00B16478" w:rsidRPr="00B16478" w:rsidRDefault="00B16478" w:rsidP="00B16478">
            <w:pPr>
              <w:ind w:left="360" w:hanging="360"/>
            </w:pPr>
            <w:proofErr w:type="gramStart"/>
            <w:r>
              <w:t>biannually</w:t>
            </w:r>
            <w:proofErr w:type="gramEnd"/>
            <w:r>
              <w:t>.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626304">
            <w:pPr>
              <w:ind w:left="360" w:hanging="360"/>
            </w:pPr>
            <w:r>
              <w:t>Radiations produced</w:t>
            </w:r>
          </w:p>
          <w:p w:rsidR="00072CD8" w:rsidRDefault="00FA04EA" w:rsidP="00626304">
            <w:pPr>
              <w:ind w:left="360" w:hanging="360"/>
            </w:pPr>
            <w:r>
              <w:t>(Type and Energies)</w:t>
            </w:r>
          </w:p>
        </w:tc>
        <w:tc>
          <w:tcPr>
            <w:tcW w:w="6408" w:type="dxa"/>
          </w:tcPr>
          <w:p w:rsidR="00072CD8" w:rsidRDefault="00FB21D0" w:rsidP="00942B65">
            <w:pPr>
              <w:ind w:left="360" w:hanging="360"/>
            </w:pPr>
            <w:r>
              <w:t>Neutrons (several MeV), photons (several MeV)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F12A4A">
            <w:pPr>
              <w:ind w:left="360" w:hanging="360"/>
            </w:pPr>
            <w:r>
              <w:t>Target Yield</w:t>
            </w:r>
          </w:p>
          <w:p w:rsidR="00072CD8" w:rsidRDefault="00072CD8" w:rsidP="00F12A4A">
            <w:pPr>
              <w:ind w:left="360" w:hanging="360"/>
            </w:pPr>
          </w:p>
        </w:tc>
        <w:tc>
          <w:tcPr>
            <w:tcW w:w="6408" w:type="dxa"/>
          </w:tcPr>
          <w:p w:rsidR="00072CD8" w:rsidRPr="00B16478" w:rsidRDefault="006B1E3E" w:rsidP="00942B65">
            <w:pPr>
              <w:ind w:left="360" w:hanging="360"/>
            </w:pPr>
            <w:r w:rsidRPr="00D81DD2">
              <w:t>10</w:t>
            </w:r>
            <w:r w:rsidRPr="005972BB">
              <w:rPr>
                <w:vertAlign w:val="superscript"/>
              </w:rPr>
              <w:t>7</w:t>
            </w:r>
            <w:r w:rsidRPr="00D81DD2">
              <w:t>-s</w:t>
            </w:r>
            <w:r w:rsidRPr="005972BB">
              <w:rPr>
                <w:vertAlign w:val="superscript"/>
              </w:rPr>
              <w:t>-1</w:t>
            </w:r>
            <w:r w:rsidRPr="00D81DD2">
              <w:t xml:space="preserve"> </w:t>
            </w:r>
            <w:r w:rsidR="00B16478">
              <w:t xml:space="preserve">(max) </w:t>
            </w:r>
            <w:r w:rsidRPr="00D81DD2">
              <w:t>and 10</w:t>
            </w:r>
            <w:r w:rsidRPr="005972BB">
              <w:rPr>
                <w:vertAlign w:val="superscript"/>
              </w:rPr>
              <w:t>6</w:t>
            </w:r>
            <w:r w:rsidRPr="00D81DD2">
              <w:t xml:space="preserve"> s</w:t>
            </w:r>
            <w:r w:rsidRPr="005972BB">
              <w:rPr>
                <w:vertAlign w:val="superscript"/>
              </w:rPr>
              <w:t>-1</w:t>
            </w:r>
            <w:r w:rsidR="00B16478">
              <w:rPr>
                <w:vertAlign w:val="subscript"/>
              </w:rPr>
              <w:t xml:space="preserve"> </w:t>
            </w:r>
            <w:r w:rsidR="00B16478">
              <w:t>(nom)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6B1E3E">
            <w:pPr>
              <w:ind w:left="360" w:hanging="360"/>
            </w:pPr>
            <w:r>
              <w:t>Duty Cycle (maximum)</w:t>
            </w:r>
          </w:p>
        </w:tc>
        <w:tc>
          <w:tcPr>
            <w:tcW w:w="6408" w:type="dxa"/>
          </w:tcPr>
          <w:p w:rsidR="00072CD8" w:rsidRDefault="006B1E3E" w:rsidP="00942B65">
            <w:pPr>
              <w:ind w:left="360" w:hanging="360"/>
            </w:pPr>
            <w:r>
              <w:t>N/A</w:t>
            </w:r>
          </w:p>
        </w:tc>
      </w:tr>
      <w:tr w:rsidR="00072CD8" w:rsidTr="00072CD8">
        <w:tc>
          <w:tcPr>
            <w:tcW w:w="3168" w:type="dxa"/>
          </w:tcPr>
          <w:p w:rsidR="00072CD8" w:rsidRDefault="00072CD8" w:rsidP="00B16478">
            <w:pPr>
              <w:ind w:left="360" w:hanging="360"/>
            </w:pPr>
            <w:r>
              <w:t>Use Factor</w:t>
            </w:r>
          </w:p>
        </w:tc>
        <w:tc>
          <w:tcPr>
            <w:tcW w:w="6408" w:type="dxa"/>
          </w:tcPr>
          <w:p w:rsidR="00072CD8" w:rsidRDefault="006B1E3E" w:rsidP="00942B65">
            <w:pPr>
              <w:ind w:left="360" w:hanging="360"/>
            </w:pPr>
            <w:r>
              <w:t xml:space="preserve">1 </w:t>
            </w:r>
            <w:proofErr w:type="spellStart"/>
            <w:r>
              <w:t>hr</w:t>
            </w:r>
            <w:proofErr w:type="spellEnd"/>
            <w:r>
              <w:t xml:space="preserve"> / week (</w:t>
            </w:r>
            <w:r w:rsidR="00B16478">
              <w:t xml:space="preserve">annual </w:t>
            </w:r>
            <w:r>
              <w:t>average)</w:t>
            </w:r>
            <w:r w:rsidR="00B16478">
              <w:t xml:space="preserve">, 40 </w:t>
            </w:r>
            <w:proofErr w:type="spellStart"/>
            <w:r w:rsidR="00B16478">
              <w:t>hr</w:t>
            </w:r>
            <w:proofErr w:type="spellEnd"/>
            <w:r w:rsidR="00B16478">
              <w:t>/week (maximum)</w:t>
            </w:r>
          </w:p>
        </w:tc>
      </w:tr>
      <w:tr w:rsidR="00C05AE1" w:rsidTr="00072CD8">
        <w:tc>
          <w:tcPr>
            <w:tcW w:w="3168" w:type="dxa"/>
          </w:tcPr>
          <w:p w:rsidR="00C05AE1" w:rsidRDefault="004D50B6" w:rsidP="00B0625F">
            <w:pPr>
              <w:ind w:left="360" w:hanging="360"/>
            </w:pPr>
            <w:r>
              <w:t>Dose Rate</w:t>
            </w:r>
          </w:p>
          <w:p w:rsidR="00C05AE1" w:rsidRDefault="00C05AE1" w:rsidP="004D50B6"/>
        </w:tc>
        <w:tc>
          <w:tcPr>
            <w:tcW w:w="6408" w:type="dxa"/>
          </w:tcPr>
          <w:p w:rsidR="004D50B6" w:rsidRDefault="004D50B6" w:rsidP="00942B65">
            <w:pPr>
              <w:ind w:left="360" w:hanging="360"/>
            </w:pPr>
            <w:r>
              <w:t>Unshielded</w:t>
            </w:r>
            <w:r w:rsidR="006B1E3E">
              <w:t>:</w:t>
            </w:r>
          </w:p>
          <w:p w:rsidR="00C05AE1" w:rsidRDefault="004D50B6" w:rsidP="00942B65">
            <w:pPr>
              <w:ind w:left="360" w:hanging="360"/>
            </w:pPr>
            <w:r>
              <w:t>Shielded</w:t>
            </w:r>
            <w:r w:rsidR="006B1E3E">
              <w:t>: background outside of vault</w:t>
            </w:r>
          </w:p>
        </w:tc>
      </w:tr>
      <w:tr w:rsidR="004D50B6" w:rsidTr="00072CD8">
        <w:tc>
          <w:tcPr>
            <w:tcW w:w="3168" w:type="dxa"/>
          </w:tcPr>
          <w:p w:rsidR="004D50B6" w:rsidRDefault="004D50B6" w:rsidP="006B1E3E">
            <w:pPr>
              <w:ind w:left="360" w:hanging="360"/>
            </w:pPr>
            <w:r>
              <w:t>Other</w:t>
            </w:r>
          </w:p>
        </w:tc>
        <w:tc>
          <w:tcPr>
            <w:tcW w:w="6408" w:type="dxa"/>
          </w:tcPr>
          <w:p w:rsidR="004D50B6" w:rsidRDefault="004D50B6" w:rsidP="00942B65">
            <w:pPr>
              <w:ind w:left="360" w:hanging="360"/>
            </w:pPr>
          </w:p>
        </w:tc>
      </w:tr>
    </w:tbl>
    <w:p w:rsidR="006B1E3E" w:rsidRDefault="006B1E3E">
      <w:pPr>
        <w:spacing w:after="200" w:line="276" w:lineRule="auto"/>
      </w:pPr>
      <w:r>
        <w:br w:type="page"/>
      </w:r>
    </w:p>
    <w:p w:rsidR="00CE09C3" w:rsidRPr="00DC67EF" w:rsidRDefault="00CE09C3" w:rsidP="00CE09C3">
      <w:pPr>
        <w:pStyle w:val="Header"/>
        <w:numPr>
          <w:ilvl w:val="0"/>
          <w:numId w:val="5"/>
        </w:numPr>
        <w:tabs>
          <w:tab w:val="clear" w:pos="9360"/>
        </w:tabs>
        <w:rPr>
          <w:rFonts w:asciiTheme="majorHAnsi" w:hAnsiTheme="majorHAnsi"/>
          <w:b/>
        </w:rPr>
      </w:pPr>
      <w:r w:rsidRPr="00DC67EF">
        <w:rPr>
          <w:rFonts w:asciiTheme="majorHAnsi" w:hAnsiTheme="majorHAnsi"/>
          <w:b/>
        </w:rPr>
        <w:lastRenderedPageBreak/>
        <w:t xml:space="preserve">Description of </w:t>
      </w:r>
      <w:r w:rsidR="004D50B6" w:rsidRPr="00DC67EF">
        <w:rPr>
          <w:rFonts w:asciiTheme="majorHAnsi" w:hAnsiTheme="majorHAnsi"/>
          <w:b/>
        </w:rPr>
        <w:t>i</w:t>
      </w:r>
      <w:r w:rsidRPr="00DC67EF">
        <w:rPr>
          <w:rFonts w:asciiTheme="majorHAnsi" w:hAnsiTheme="majorHAnsi"/>
          <w:b/>
        </w:rPr>
        <w:t xml:space="preserve">ntended </w:t>
      </w:r>
      <w:r w:rsidR="004D50B6" w:rsidRPr="00DC67EF">
        <w:rPr>
          <w:rFonts w:asciiTheme="majorHAnsi" w:hAnsiTheme="majorHAnsi"/>
          <w:b/>
        </w:rPr>
        <w:t>u</w:t>
      </w:r>
      <w:r w:rsidRPr="00DC67EF">
        <w:rPr>
          <w:rFonts w:asciiTheme="majorHAnsi" w:hAnsiTheme="majorHAnsi"/>
          <w:b/>
        </w:rPr>
        <w:t xml:space="preserve">se of </w:t>
      </w:r>
      <w:r w:rsidR="004D50B6" w:rsidRPr="00DC67EF">
        <w:rPr>
          <w:rFonts w:asciiTheme="majorHAnsi" w:hAnsiTheme="majorHAnsi"/>
          <w:b/>
        </w:rPr>
        <w:t>e</w:t>
      </w:r>
      <w:r w:rsidRPr="00DC67EF">
        <w:rPr>
          <w:rFonts w:asciiTheme="majorHAnsi" w:hAnsiTheme="majorHAnsi"/>
          <w:b/>
        </w:rPr>
        <w:t xml:space="preserve">quipment: </w:t>
      </w:r>
    </w:p>
    <w:p w:rsidR="00DC67EF" w:rsidRDefault="00DC67EF" w:rsidP="00DC67EF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 w:rsidRPr="00DE0001">
        <w:rPr>
          <w:i/>
          <w:sz w:val="22"/>
          <w:szCs w:val="22"/>
        </w:rPr>
        <w:t>Describe in sufficient detail how the instrument will be utilized. Indicate power output for common experiments and how s</w:t>
      </w:r>
      <w:r>
        <w:rPr>
          <w:i/>
          <w:sz w:val="22"/>
          <w:szCs w:val="22"/>
        </w:rPr>
        <w:t xml:space="preserve">afety features apply to usage (Attach </w:t>
      </w:r>
      <w:r w:rsidRPr="00DE0001">
        <w:rPr>
          <w:i/>
          <w:sz w:val="22"/>
          <w:szCs w:val="22"/>
        </w:rPr>
        <w:t>protocol sheet if needed).</w:t>
      </w: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DC67EF" w:rsidRDefault="00DC67EF" w:rsidP="0090737E">
      <w:pPr>
        <w:pStyle w:val="Header"/>
        <w:tabs>
          <w:tab w:val="clear" w:pos="4680"/>
          <w:tab w:val="clear" w:pos="9360"/>
          <w:tab w:val="left" w:pos="2430"/>
        </w:tabs>
        <w:ind w:left="360"/>
        <w:rPr>
          <w:b/>
        </w:rPr>
      </w:pPr>
    </w:p>
    <w:p w:rsidR="00E2037D" w:rsidRDefault="0090737E" w:rsidP="0090737E">
      <w:pPr>
        <w:pStyle w:val="Header"/>
        <w:tabs>
          <w:tab w:val="clear" w:pos="9360"/>
        </w:tabs>
        <w:ind w:left="360"/>
        <w:rPr>
          <w:b/>
        </w:rPr>
      </w:pPr>
      <w:r w:rsidRPr="00D81DD2">
        <w:t>The MIT Linear Electrostatic Ion Accelerator (LEIA) is an accelerator-based fusion products generator. It is used primarily for development of nuclear diagnostics for Omega, Z, and the NIF. It is capable of producing D-D and D-3He fusion products at rates of 10</w:t>
      </w:r>
      <w:r w:rsidRPr="005972BB">
        <w:rPr>
          <w:vertAlign w:val="superscript"/>
        </w:rPr>
        <w:t>7</w:t>
      </w:r>
      <w:r w:rsidRPr="00D81DD2">
        <w:t>-s</w:t>
      </w:r>
      <w:r w:rsidRPr="005972BB">
        <w:rPr>
          <w:vertAlign w:val="superscript"/>
        </w:rPr>
        <w:t>-1</w:t>
      </w:r>
      <w:r w:rsidRPr="00D81DD2">
        <w:t xml:space="preserve"> and 10</w:t>
      </w:r>
      <w:r w:rsidRPr="005972BB">
        <w:rPr>
          <w:vertAlign w:val="superscript"/>
        </w:rPr>
        <w:t>6</w:t>
      </w:r>
      <w:r w:rsidRPr="00D81DD2">
        <w:t xml:space="preserve"> s</w:t>
      </w:r>
      <w:r w:rsidRPr="005972BB">
        <w:rPr>
          <w:vertAlign w:val="superscript"/>
        </w:rPr>
        <w:t>-1</w:t>
      </w:r>
      <w:r w:rsidRPr="00D81DD2">
        <w:t>. It consists of an ion source, a beamline with in-situ diagnostics, and a cylindrical chamber with an ErD2 target. A charged-particle diagnostics suite, consisting of Surface Barrier Detectors (SBDs), a pre-amplifier and a Multi-Channel Analyzer (MCA) are used as the primary diagnostic for charged fusion products. Nuclear diagnostics, including charged-particle spectrometers and neutron yield detectors, are developed and cross-calibrated against this suite</w:t>
      </w:r>
      <w:r>
        <w:t>.</w:t>
      </w:r>
    </w:p>
    <w:p w:rsidR="00E2037D" w:rsidRDefault="00E2037D" w:rsidP="0090737E">
      <w:pPr>
        <w:pStyle w:val="Header"/>
        <w:tabs>
          <w:tab w:val="clear" w:pos="9360"/>
        </w:tabs>
        <w:ind w:left="360"/>
        <w:rPr>
          <w:b/>
        </w:rPr>
      </w:pPr>
    </w:p>
    <w:p w:rsidR="00DC67EF" w:rsidRDefault="00DC67EF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E2037D" w:rsidRDefault="00E2037D" w:rsidP="00DC67EF">
      <w:pPr>
        <w:pStyle w:val="Header"/>
        <w:tabs>
          <w:tab w:val="clear" w:pos="9360"/>
        </w:tabs>
        <w:rPr>
          <w:b/>
        </w:rPr>
      </w:pPr>
    </w:p>
    <w:p w:rsidR="00DC67EF" w:rsidRPr="00DC67EF" w:rsidRDefault="00DC67EF" w:rsidP="00CE09C3">
      <w:pPr>
        <w:pStyle w:val="Header"/>
        <w:numPr>
          <w:ilvl w:val="0"/>
          <w:numId w:val="5"/>
        </w:numPr>
        <w:tabs>
          <w:tab w:val="clear" w:pos="9360"/>
        </w:tabs>
        <w:rPr>
          <w:rFonts w:asciiTheme="majorHAnsi" w:hAnsiTheme="majorHAnsi"/>
          <w:b/>
        </w:rPr>
      </w:pPr>
      <w:r w:rsidRPr="00DC67EF">
        <w:rPr>
          <w:rFonts w:asciiTheme="majorHAnsi" w:hAnsiTheme="majorHAnsi"/>
          <w:b/>
        </w:rPr>
        <w:t xml:space="preserve">Description of Engineering Controls: </w:t>
      </w:r>
    </w:p>
    <w:p w:rsidR="00DC67EF" w:rsidRPr="00DC67EF" w:rsidRDefault="00DC67EF" w:rsidP="00DC67EF">
      <w:pPr>
        <w:pStyle w:val="Header"/>
        <w:tabs>
          <w:tab w:val="clear" w:pos="9360"/>
        </w:tabs>
        <w:ind w:left="360"/>
        <w:rPr>
          <w:rFonts w:asciiTheme="majorHAnsi" w:hAnsiTheme="majorHAnsi"/>
          <w:i/>
          <w:sz w:val="22"/>
          <w:szCs w:val="22"/>
        </w:rPr>
      </w:pPr>
      <w:r w:rsidRPr="00DC67EF">
        <w:rPr>
          <w:rFonts w:asciiTheme="majorHAnsi" w:hAnsiTheme="majorHAnsi"/>
          <w:i/>
          <w:sz w:val="22"/>
          <w:szCs w:val="22"/>
        </w:rPr>
        <w:t xml:space="preserve">Describe shielding, accelerator controls, interlocks, warning devices, High Radiation Area Controls, and beam containment systems.  </w:t>
      </w:r>
      <w:r w:rsidRPr="00DC67EF">
        <w:rPr>
          <w:rFonts w:asciiTheme="majorHAnsi" w:hAnsiTheme="majorHAnsi"/>
          <w:b/>
          <w:sz w:val="22"/>
          <w:szCs w:val="22"/>
        </w:rPr>
        <w:t>(Attach documentation or SAD as appropriate)</w:t>
      </w:r>
    </w:p>
    <w:p w:rsidR="00DC67EF" w:rsidRDefault="00DC67EF" w:rsidP="00CE09C3">
      <w:pPr>
        <w:pStyle w:val="Header"/>
        <w:tabs>
          <w:tab w:val="clear" w:pos="9360"/>
        </w:tabs>
        <w:ind w:left="360" w:hanging="360"/>
        <w:rPr>
          <w:i/>
          <w:sz w:val="22"/>
          <w:szCs w:val="22"/>
        </w:rPr>
      </w:pPr>
    </w:p>
    <w:p w:rsidR="00E2037D" w:rsidRPr="00F957C0" w:rsidRDefault="00B23F54" w:rsidP="00F957C0">
      <w:pPr>
        <w:pStyle w:val="Header"/>
        <w:tabs>
          <w:tab w:val="clear" w:pos="9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="00F957C0">
        <w:rPr>
          <w:sz w:val="22"/>
          <w:szCs w:val="22"/>
        </w:rPr>
        <w:t xml:space="preserve">interlock system is used for </w:t>
      </w:r>
      <w:r w:rsidR="006F3634">
        <w:rPr>
          <w:sz w:val="22"/>
          <w:szCs w:val="22"/>
        </w:rPr>
        <w:t>securing</w:t>
      </w:r>
      <w:r w:rsidR="00F957C0">
        <w:rPr>
          <w:sz w:val="22"/>
          <w:szCs w:val="22"/>
        </w:rPr>
        <w:t xml:space="preserve"> the vault during operation.</w:t>
      </w:r>
      <w:r w:rsidR="006F3634">
        <w:rPr>
          <w:sz w:val="22"/>
          <w:szCs w:val="22"/>
        </w:rPr>
        <w:t xml:space="preserve"> Warning red lights are also flashing when the interlock system is being readied.</w:t>
      </w:r>
      <w:r w:rsidR="00F957C0">
        <w:rPr>
          <w:sz w:val="22"/>
          <w:szCs w:val="22"/>
        </w:rPr>
        <w:t xml:space="preserve"> In addition, a remote camera system allows operators to view the inside of the vault in real-time.</w:t>
      </w:r>
    </w:p>
    <w:p w:rsidR="00E2037D" w:rsidRPr="00F957C0" w:rsidRDefault="00E2037D" w:rsidP="00F957C0">
      <w:pPr>
        <w:pStyle w:val="Header"/>
        <w:tabs>
          <w:tab w:val="clear" w:pos="9360"/>
        </w:tabs>
        <w:ind w:left="720" w:hanging="360"/>
        <w:rPr>
          <w:sz w:val="22"/>
          <w:szCs w:val="22"/>
        </w:rPr>
      </w:pPr>
    </w:p>
    <w:p w:rsidR="00E2037D" w:rsidRPr="00F957C0" w:rsidRDefault="00E2037D" w:rsidP="00F957C0">
      <w:pPr>
        <w:pStyle w:val="Header"/>
        <w:tabs>
          <w:tab w:val="clear" w:pos="9360"/>
        </w:tabs>
        <w:ind w:left="720" w:hanging="360"/>
        <w:rPr>
          <w:sz w:val="22"/>
          <w:szCs w:val="22"/>
        </w:rPr>
      </w:pPr>
    </w:p>
    <w:p w:rsidR="00E2037D" w:rsidRPr="00F957C0" w:rsidRDefault="00E2037D" w:rsidP="00F957C0">
      <w:pPr>
        <w:pStyle w:val="Header"/>
        <w:tabs>
          <w:tab w:val="clear" w:pos="9360"/>
        </w:tabs>
        <w:ind w:left="720" w:hanging="360"/>
        <w:rPr>
          <w:sz w:val="22"/>
          <w:szCs w:val="22"/>
        </w:rPr>
      </w:pPr>
    </w:p>
    <w:p w:rsidR="00E2037D" w:rsidRPr="00F957C0" w:rsidRDefault="00E2037D" w:rsidP="00F957C0">
      <w:pPr>
        <w:pStyle w:val="Header"/>
        <w:tabs>
          <w:tab w:val="clear" w:pos="9360"/>
        </w:tabs>
        <w:ind w:left="720" w:hanging="360"/>
        <w:rPr>
          <w:sz w:val="22"/>
          <w:szCs w:val="22"/>
        </w:rPr>
      </w:pPr>
    </w:p>
    <w:p w:rsidR="00E2037D" w:rsidRPr="00F957C0" w:rsidRDefault="00E2037D" w:rsidP="00F957C0">
      <w:pPr>
        <w:pStyle w:val="Header"/>
        <w:tabs>
          <w:tab w:val="clear" w:pos="9360"/>
        </w:tabs>
        <w:ind w:left="720" w:hanging="360"/>
        <w:rPr>
          <w:sz w:val="22"/>
          <w:szCs w:val="22"/>
        </w:rPr>
      </w:pPr>
    </w:p>
    <w:p w:rsidR="004D50B6" w:rsidRDefault="004D50B6" w:rsidP="00910CE7">
      <w:pPr>
        <w:pStyle w:val="ListParagraph"/>
        <w:ind w:left="360"/>
        <w:rPr>
          <w:rFonts w:asciiTheme="majorHAnsi" w:hAnsiTheme="majorHAnsi"/>
          <w:b/>
        </w:rPr>
      </w:pPr>
    </w:p>
    <w:p w:rsidR="009C68EA" w:rsidRDefault="009C68EA">
      <w:pPr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910CE7" w:rsidRDefault="00910CE7" w:rsidP="00910CE7">
      <w:pPr>
        <w:pStyle w:val="ListParagraph"/>
        <w:ind w:left="360"/>
        <w:rPr>
          <w:rFonts w:asciiTheme="majorHAnsi" w:hAnsiTheme="majorHAnsi"/>
          <w:b/>
        </w:rPr>
      </w:pPr>
    </w:p>
    <w:p w:rsidR="00DC67EF" w:rsidRDefault="00910CE7" w:rsidP="004D50B6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Description of administrative controls </w:t>
      </w:r>
    </w:p>
    <w:p w:rsidR="004D50B6" w:rsidRPr="00E2037D" w:rsidRDefault="00DC67EF" w:rsidP="00DC67EF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  <w:r w:rsidRPr="00DC67EF">
        <w:rPr>
          <w:rFonts w:asciiTheme="majorHAnsi" w:hAnsiTheme="majorHAnsi"/>
          <w:i/>
          <w:sz w:val="22"/>
          <w:szCs w:val="22"/>
        </w:rPr>
        <w:t xml:space="preserve">Describe </w:t>
      </w:r>
      <w:r w:rsidR="00910CE7" w:rsidRPr="00DC67EF">
        <w:rPr>
          <w:rFonts w:asciiTheme="majorHAnsi" w:hAnsiTheme="majorHAnsi"/>
          <w:i/>
          <w:sz w:val="22"/>
          <w:szCs w:val="22"/>
        </w:rPr>
        <w:t>operati</w:t>
      </w:r>
      <w:r w:rsidR="00910CE7" w:rsidRPr="00910CE7">
        <w:rPr>
          <w:rFonts w:asciiTheme="majorHAnsi" w:hAnsiTheme="majorHAnsi"/>
          <w:i/>
          <w:sz w:val="22"/>
          <w:szCs w:val="22"/>
        </w:rPr>
        <w:t xml:space="preserve">ng procedures, posting and labeling, operator training, configuration changes, radiation monitoring, </w:t>
      </w:r>
      <w:r w:rsidRPr="00910CE7">
        <w:rPr>
          <w:rFonts w:asciiTheme="majorHAnsi" w:hAnsiTheme="majorHAnsi"/>
          <w:i/>
          <w:sz w:val="22"/>
          <w:szCs w:val="22"/>
        </w:rPr>
        <w:t>and access</w:t>
      </w:r>
      <w:r>
        <w:rPr>
          <w:rFonts w:asciiTheme="majorHAnsi" w:hAnsiTheme="majorHAnsi"/>
          <w:i/>
          <w:sz w:val="22"/>
          <w:szCs w:val="22"/>
        </w:rPr>
        <w:t xml:space="preserve"> control. </w:t>
      </w:r>
      <w:r w:rsidR="004D50B6">
        <w:rPr>
          <w:rFonts w:asciiTheme="majorHAnsi" w:hAnsiTheme="majorHAnsi"/>
          <w:i/>
          <w:sz w:val="22"/>
          <w:szCs w:val="22"/>
        </w:rPr>
        <w:t xml:space="preserve"> </w:t>
      </w:r>
      <w:r w:rsidRPr="00E2037D">
        <w:rPr>
          <w:rFonts w:asciiTheme="majorHAnsi" w:hAnsiTheme="majorHAnsi"/>
          <w:b/>
          <w:sz w:val="22"/>
          <w:szCs w:val="22"/>
        </w:rPr>
        <w:t>(A</w:t>
      </w:r>
      <w:r w:rsidR="004D50B6" w:rsidRPr="00E2037D">
        <w:rPr>
          <w:rFonts w:asciiTheme="majorHAnsi" w:hAnsiTheme="majorHAnsi"/>
          <w:b/>
          <w:sz w:val="22"/>
          <w:szCs w:val="22"/>
        </w:rPr>
        <w:t>ttach documentation or SAD as appropriate)</w:t>
      </w:r>
    </w:p>
    <w:p w:rsidR="00910CE7" w:rsidRDefault="00910CE7" w:rsidP="004D50B6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</w:p>
    <w:p w:rsidR="004D50B6" w:rsidRPr="00B23F54" w:rsidRDefault="004D50B6" w:rsidP="004D50B6">
      <w:pPr>
        <w:pStyle w:val="ListParagraph"/>
        <w:ind w:left="360"/>
        <w:rPr>
          <w:rFonts w:asciiTheme="majorHAnsi" w:hAnsiTheme="majorHAnsi"/>
        </w:rPr>
      </w:pPr>
    </w:p>
    <w:p w:rsidR="006F3634" w:rsidRDefault="00B23F54" w:rsidP="006F3634">
      <w:pPr>
        <w:pStyle w:val="ListParagraph"/>
        <w:ind w:left="360"/>
        <w:rPr>
          <w:rFonts w:asciiTheme="majorHAnsi" w:hAnsiTheme="majorHAnsi"/>
        </w:rPr>
      </w:pPr>
      <w:r w:rsidRPr="00B23F54">
        <w:rPr>
          <w:rFonts w:asciiTheme="majorHAnsi" w:hAnsiTheme="majorHAnsi"/>
        </w:rPr>
        <w:t xml:space="preserve">A physical </w:t>
      </w:r>
      <w:r w:rsidR="006F3634">
        <w:rPr>
          <w:rFonts w:asciiTheme="majorHAnsi" w:hAnsiTheme="majorHAnsi"/>
        </w:rPr>
        <w:t xml:space="preserve">sweep of the vault is performed during the interlock readiness procedure. A radiation area sign is placed on the entrance to the vault and is the only accessible entrance to the vault. Maria </w:t>
      </w:r>
      <w:proofErr w:type="spellStart"/>
      <w:r w:rsidR="006F3634">
        <w:rPr>
          <w:rFonts w:asciiTheme="majorHAnsi" w:hAnsiTheme="majorHAnsi"/>
        </w:rPr>
        <w:t>Gatu</w:t>
      </w:r>
      <w:proofErr w:type="spellEnd"/>
      <w:r w:rsidR="006F3634">
        <w:rPr>
          <w:rFonts w:asciiTheme="majorHAnsi" w:hAnsiTheme="majorHAnsi"/>
        </w:rPr>
        <w:t>-Johnson is the facility operator and supervisor.</w:t>
      </w:r>
    </w:p>
    <w:p w:rsidR="006F3634" w:rsidRDefault="006F3634" w:rsidP="006F3634">
      <w:pPr>
        <w:pStyle w:val="ListParagraph"/>
        <w:ind w:left="360"/>
        <w:rPr>
          <w:rFonts w:asciiTheme="majorHAnsi" w:hAnsiTheme="majorHAnsi"/>
        </w:rPr>
      </w:pPr>
    </w:p>
    <w:p w:rsidR="006F3634" w:rsidRPr="006F3634" w:rsidRDefault="006F3634" w:rsidP="006F3634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Radiation area monitoring badges are placed both inside and outside of the vault and the results are reported quarterly.</w:t>
      </w:r>
    </w:p>
    <w:p w:rsidR="00E2037D" w:rsidRDefault="00E2037D" w:rsidP="004D50B6">
      <w:pPr>
        <w:pStyle w:val="ListParagraph"/>
        <w:ind w:left="360"/>
        <w:rPr>
          <w:rFonts w:asciiTheme="majorHAnsi" w:hAnsiTheme="majorHAnsi"/>
        </w:rPr>
      </w:pPr>
    </w:p>
    <w:p w:rsidR="00A71C9C" w:rsidRPr="00A71C9C" w:rsidRDefault="00A71C9C" w:rsidP="004D50B6">
      <w:pPr>
        <w:pStyle w:val="ListParagraph"/>
        <w:ind w:left="360"/>
        <w:rPr>
          <w:rFonts w:asciiTheme="majorHAnsi" w:hAnsiTheme="majorHAnsi"/>
          <w:b/>
        </w:rPr>
      </w:pPr>
      <w:r w:rsidRPr="00A71C9C">
        <w:rPr>
          <w:rFonts w:asciiTheme="majorHAnsi" w:hAnsiTheme="majorHAnsi"/>
          <w:b/>
        </w:rPr>
        <w:t>Interlock and Startup Procedure:</w:t>
      </w:r>
    </w:p>
    <w:p w:rsidR="00A71C9C" w:rsidRPr="00B23F54" w:rsidRDefault="00A71C9C" w:rsidP="004D50B6">
      <w:pPr>
        <w:pStyle w:val="ListParagraph"/>
        <w:ind w:left="360"/>
        <w:rPr>
          <w:rFonts w:asciiTheme="majorHAnsi" w:hAnsiTheme="majorHAnsi"/>
        </w:rPr>
      </w:pPr>
    </w:p>
    <w:p w:rsidR="00E2037D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preliminary equipment checks have been successfully performed, one should enter the vault and ensure any workers present vacate the vault.</w:t>
      </w:r>
    </w:p>
    <w:p w:rsidR="00D32C67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last person exits the vault with the accelerator grounding rod in hand and places this rod at the bottom of the stairs, approximately 1.5 meters high, which acts as a visual blockade.</w:t>
      </w:r>
    </w:p>
    <w:p w:rsidR="00A71C9C" w:rsidRDefault="00A71C9C" w:rsidP="00A71C9C">
      <w:pPr>
        <w:jc w:val="center"/>
        <w:rPr>
          <w:rFonts w:asciiTheme="majorHAnsi" w:hAnsiTheme="majorHAnsi"/>
        </w:rPr>
      </w:pPr>
      <w:r w:rsidRPr="00A71C9C">
        <w:rPr>
          <w:rFonts w:asciiTheme="majorHAnsi" w:hAnsiTheme="majorHAnsi"/>
          <w:noProof/>
        </w:rPr>
        <w:drawing>
          <wp:inline distT="0" distB="0" distL="0" distR="0">
            <wp:extent cx="4218048" cy="3163149"/>
            <wp:effectExtent l="0" t="0" r="0" b="0"/>
            <wp:docPr id="2" name="Picture 2" descr="C:\Users\mgcarey\Dropbox (Personal)\Camera Uploads\2016-02-11 09.41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carey\Dropbox (Personal)\Camera Uploads\2016-02-11 09.41.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85" cy="316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9C" w:rsidRDefault="00A71C9C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A71C9C" w:rsidRPr="00A71C9C" w:rsidRDefault="00A71C9C" w:rsidP="00A71C9C">
      <w:pPr>
        <w:rPr>
          <w:rFonts w:asciiTheme="majorHAnsi" w:hAnsiTheme="majorHAnsi"/>
        </w:rPr>
      </w:pPr>
    </w:p>
    <w:p w:rsidR="004D50B6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vault door is shut, which closes the door interlock switch</w:t>
      </w:r>
      <w:r w:rsidR="00A71C9C">
        <w:rPr>
          <w:rFonts w:asciiTheme="majorHAnsi" w:hAnsiTheme="majorHAnsi"/>
        </w:rPr>
        <w:t>es</w:t>
      </w:r>
      <w:r>
        <w:rPr>
          <w:rFonts w:asciiTheme="majorHAnsi" w:hAnsiTheme="majorHAnsi"/>
        </w:rPr>
        <w:t>.</w:t>
      </w:r>
    </w:p>
    <w:p w:rsidR="00A71C9C" w:rsidRDefault="00A71C9C" w:rsidP="00A71C9C">
      <w:pPr>
        <w:jc w:val="center"/>
        <w:rPr>
          <w:rFonts w:asciiTheme="majorHAnsi" w:hAnsiTheme="majorHAnsi"/>
        </w:rPr>
      </w:pPr>
      <w:r w:rsidRPr="00A71C9C">
        <w:rPr>
          <w:rFonts w:asciiTheme="majorHAnsi" w:hAnsiTheme="majorHAnsi"/>
          <w:noProof/>
        </w:rPr>
        <w:drawing>
          <wp:inline distT="0" distB="0" distL="0" distR="0">
            <wp:extent cx="3756025" cy="4556097"/>
            <wp:effectExtent l="0" t="0" r="0" b="0"/>
            <wp:docPr id="4" name="Picture 4" descr="C:\Users\mgcarey\Dropbox (Personal)\Camera Uploads\2016-02-11 09.42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carey\Dropbox (Personal)\Camera Uploads\2016-02-11 09.42.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5"/>
                    <a:stretch/>
                  </pic:blipFill>
                  <pic:spPr bwMode="auto">
                    <a:xfrm>
                      <a:off x="0" y="0"/>
                      <a:ext cx="3759079" cy="45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C9C" w:rsidRPr="00A71C9C" w:rsidRDefault="00A71C9C" w:rsidP="00A71C9C">
      <w:pPr>
        <w:jc w:val="center"/>
        <w:rPr>
          <w:rFonts w:asciiTheme="majorHAnsi" w:hAnsiTheme="majorHAnsi"/>
        </w:rPr>
      </w:pPr>
    </w:p>
    <w:p w:rsidR="00D32C67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HV ready switch on the computer is toggled from OFF to ON, allowing the system to turn on the high voltage.</w:t>
      </w:r>
    </w:p>
    <w:p w:rsidR="00D32C67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position of the plasma power key is verified that it is in the ON position.</w:t>
      </w:r>
    </w:p>
    <w:p w:rsidR="00D32C67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red warning lights should be blinking.</w:t>
      </w:r>
    </w:p>
    <w:p w:rsidR="00D32C67" w:rsidRPr="00D32C67" w:rsidRDefault="00D32C67" w:rsidP="00D32C6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accelerator is ready to be operated.</w:t>
      </w:r>
    </w:p>
    <w:p w:rsidR="004D50B6" w:rsidRDefault="004D50B6" w:rsidP="004D50B6">
      <w:pPr>
        <w:pStyle w:val="ListParagraph"/>
        <w:ind w:left="360"/>
        <w:rPr>
          <w:rFonts w:asciiTheme="majorHAnsi" w:hAnsiTheme="majorHAnsi"/>
          <w:b/>
        </w:rPr>
      </w:pPr>
    </w:p>
    <w:p w:rsidR="004D50B6" w:rsidRDefault="004D50B6" w:rsidP="004D50B6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</w:p>
    <w:p w:rsidR="00E2037D" w:rsidRPr="00E2037D" w:rsidRDefault="00DC67EF" w:rsidP="00626304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>Ancillary Hazards</w:t>
      </w:r>
      <w:r w:rsidR="00E2037D">
        <w:rPr>
          <w:rFonts w:asciiTheme="majorHAnsi" w:hAnsiTheme="majorHAnsi"/>
          <w:b/>
        </w:rPr>
        <w:t xml:space="preserve"> </w:t>
      </w:r>
    </w:p>
    <w:p w:rsidR="00910CE7" w:rsidRPr="00E2037D" w:rsidRDefault="004D50B6" w:rsidP="00E2037D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  <w:r w:rsidRPr="00E2037D">
        <w:rPr>
          <w:rFonts w:asciiTheme="majorHAnsi" w:hAnsiTheme="majorHAnsi"/>
          <w:i/>
          <w:sz w:val="22"/>
          <w:szCs w:val="22"/>
        </w:rPr>
        <w:t>If applicable, provide</w:t>
      </w:r>
      <w:r w:rsidR="00E2037D" w:rsidRPr="00E2037D">
        <w:rPr>
          <w:rFonts w:asciiTheme="majorHAnsi" w:hAnsiTheme="majorHAnsi"/>
          <w:i/>
          <w:sz w:val="22"/>
          <w:szCs w:val="22"/>
        </w:rPr>
        <w:t xml:space="preserve"> information related to Airborne Hazards and controls, briefly other hazards such as RF, and Lasers that may be present</w:t>
      </w:r>
      <w:r w:rsidR="00E2037D">
        <w:rPr>
          <w:rFonts w:asciiTheme="majorHAnsi" w:hAnsiTheme="majorHAnsi"/>
          <w:i/>
          <w:sz w:val="22"/>
          <w:szCs w:val="22"/>
        </w:rPr>
        <w:t xml:space="preserve">.  </w:t>
      </w:r>
      <w:r w:rsidR="00E2037D" w:rsidRPr="00E2037D">
        <w:rPr>
          <w:rFonts w:asciiTheme="majorHAnsi" w:hAnsiTheme="majorHAnsi"/>
          <w:b/>
          <w:sz w:val="22"/>
          <w:szCs w:val="22"/>
        </w:rPr>
        <w:t>(Attach documentation or SAD as appropriate)</w:t>
      </w:r>
    </w:p>
    <w:p w:rsidR="00626304" w:rsidRPr="006F3634" w:rsidRDefault="00626304" w:rsidP="00316FDF">
      <w:pPr>
        <w:rPr>
          <w:rFonts w:asciiTheme="majorHAnsi" w:hAnsiTheme="majorHAnsi"/>
        </w:rPr>
      </w:pPr>
    </w:p>
    <w:p w:rsidR="00626304" w:rsidRPr="006F3634" w:rsidRDefault="006F3634" w:rsidP="006F3634">
      <w:pPr>
        <w:tabs>
          <w:tab w:val="left" w:pos="360"/>
        </w:tabs>
        <w:ind w:left="360"/>
      </w:pPr>
      <w:r>
        <w:t>Confined RF hazards exist, however, high voltage is the primary ancillary hazard. In addition, rupture of the vacuum view port glass could lead to damage to a person close by, however, this occurrence is highly unlikely.</w:t>
      </w:r>
    </w:p>
    <w:p w:rsidR="00626304" w:rsidRPr="006F3634" w:rsidRDefault="00626304" w:rsidP="006F3634">
      <w:pPr>
        <w:ind w:left="720" w:hanging="360"/>
      </w:pPr>
    </w:p>
    <w:p w:rsidR="00626304" w:rsidRPr="006F3634" w:rsidRDefault="00626304" w:rsidP="009D30CD">
      <w:pPr>
        <w:pStyle w:val="Header"/>
        <w:tabs>
          <w:tab w:val="clear" w:pos="9360"/>
        </w:tabs>
      </w:pPr>
    </w:p>
    <w:p w:rsidR="009D30CD" w:rsidRDefault="009D30CD">
      <w:pPr>
        <w:spacing w:after="200" w:line="276" w:lineRule="auto"/>
      </w:pPr>
      <w:r>
        <w:br w:type="page"/>
      </w:r>
    </w:p>
    <w:p w:rsidR="00626304" w:rsidRPr="00DE0001" w:rsidRDefault="00626304" w:rsidP="00626304">
      <w:pPr>
        <w:pStyle w:val="ListParagraph"/>
        <w:numPr>
          <w:ilvl w:val="0"/>
          <w:numId w:val="5"/>
        </w:numPr>
        <w:rPr>
          <w:i/>
        </w:rPr>
      </w:pPr>
      <w:r w:rsidRPr="00DE0001">
        <w:rPr>
          <w:b/>
        </w:rPr>
        <w:lastRenderedPageBreak/>
        <w:t xml:space="preserve">List </w:t>
      </w:r>
      <w:r w:rsidR="00E2037D">
        <w:rPr>
          <w:b/>
        </w:rPr>
        <w:t xml:space="preserve">radiological monitoring equipment and </w:t>
      </w:r>
      <w:r w:rsidRPr="00DE0001">
        <w:rPr>
          <w:b/>
        </w:rPr>
        <w:t>survey meter(s) available</w:t>
      </w:r>
      <w:r>
        <w:t xml:space="preserve">; </w:t>
      </w:r>
      <w:r w:rsidRPr="00DE0001">
        <w:rPr>
          <w:i/>
          <w:sz w:val="22"/>
          <w:szCs w:val="22"/>
        </w:rPr>
        <w:t>include quantity, model, type and serial number</w:t>
      </w: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9D30CD" w:rsidRDefault="009D30CD" w:rsidP="00626304">
      <w:pPr>
        <w:pStyle w:val="Header"/>
        <w:tabs>
          <w:tab w:val="clear" w:pos="9360"/>
        </w:tabs>
        <w:ind w:left="360" w:hanging="360"/>
      </w:pPr>
      <w:r>
        <w:t>1 GM meter, serial number: 92729.</w:t>
      </w:r>
    </w:p>
    <w:p w:rsidR="00626304" w:rsidRDefault="009D30CD" w:rsidP="009D30CD">
      <w:pPr>
        <w:pStyle w:val="Header"/>
        <w:tabs>
          <w:tab w:val="clear" w:pos="9360"/>
        </w:tabs>
        <w:ind w:left="360" w:hanging="360"/>
        <w:jc w:val="center"/>
      </w:pPr>
      <w:r w:rsidRPr="009D30CD">
        <w:rPr>
          <w:noProof/>
        </w:rPr>
        <w:drawing>
          <wp:inline distT="0" distB="0" distL="0" distR="0">
            <wp:extent cx="3822873" cy="2866804"/>
            <wp:effectExtent l="0" t="0" r="6350" b="0"/>
            <wp:docPr id="1" name="Picture 1" descr="C:\Users\mgcarey\Dropbox (Personal)\Camera Uploads\2016-02-11 10.02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carey\Dropbox (Personal)\Camera Uploads\2016-02-11 10.02.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39" cy="28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04" w:rsidRDefault="00626304" w:rsidP="00626304">
      <w:pPr>
        <w:pStyle w:val="Header"/>
        <w:tabs>
          <w:tab w:val="clear" w:pos="9360"/>
        </w:tabs>
        <w:ind w:left="360" w:hanging="360"/>
      </w:pPr>
    </w:p>
    <w:p w:rsidR="00D22658" w:rsidRDefault="00D22658">
      <w:pPr>
        <w:spacing w:after="200" w:line="276" w:lineRule="auto"/>
      </w:pPr>
      <w:r>
        <w:br w:type="page"/>
      </w:r>
    </w:p>
    <w:p w:rsidR="00626304" w:rsidRDefault="00626304" w:rsidP="00626304">
      <w:pPr>
        <w:pStyle w:val="Header"/>
        <w:numPr>
          <w:ilvl w:val="0"/>
          <w:numId w:val="5"/>
        </w:numPr>
        <w:tabs>
          <w:tab w:val="clear" w:pos="9360"/>
        </w:tabs>
        <w:rPr>
          <w:b/>
        </w:rPr>
      </w:pPr>
      <w:r w:rsidRPr="00DE0001">
        <w:rPr>
          <w:b/>
        </w:rPr>
        <w:lastRenderedPageBreak/>
        <w:t>Location of Use</w:t>
      </w: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 w:rsidRPr="00DE0001">
        <w:rPr>
          <w:i/>
          <w:sz w:val="22"/>
          <w:szCs w:val="22"/>
        </w:rPr>
        <w:t>Please include a figure showing location of intended use. Will this be restricted access? Show room safety features (use below or attach as appropriate and indicate)</w:t>
      </w:r>
    </w:p>
    <w:p w:rsidR="00E2037D" w:rsidRPr="009D30CD" w:rsidRDefault="00E2037D" w:rsidP="00E2037D">
      <w:pPr>
        <w:pStyle w:val="Header"/>
        <w:tabs>
          <w:tab w:val="clear" w:pos="9360"/>
        </w:tabs>
        <w:ind w:left="360"/>
        <w:rPr>
          <w:sz w:val="22"/>
          <w:szCs w:val="22"/>
        </w:rPr>
      </w:pPr>
    </w:p>
    <w:p w:rsidR="00E2037D" w:rsidRPr="009D30CD" w:rsidRDefault="00316FDF" w:rsidP="00316FDF">
      <w:pPr>
        <w:pStyle w:val="Header"/>
        <w:tabs>
          <w:tab w:val="clear" w:pos="9360"/>
        </w:tabs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2162810</wp:posOffset>
                </wp:positionV>
                <wp:extent cx="1924215" cy="643724"/>
                <wp:effectExtent l="0" t="0" r="1905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5" cy="643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FDF" w:rsidRDefault="00316FDF" w:rsidP="00316FDF">
                            <w:pPr>
                              <w:jc w:val="center"/>
                            </w:pPr>
                            <w:r>
                              <w:t>Linear Accelerator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70.3pt;width:151.5pt;height:50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" fillcolor="#4f81bd [3204]" strokecolor="#243f60 [1604]" strokeweight="2pt">
                <v:textbox>
                  <w:txbxContent>
                    <w:p w:rsidR="00316FDF" w:rsidRDefault="00316FDF" w:rsidP="00316FDF">
                      <w:pPr>
                        <w:jc w:val="center"/>
                      </w:pPr>
                      <w:r>
                        <w:t>Linear Accelerator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6C9C91AD" wp14:editId="4D8D84D9">
            <wp:extent cx="4269850" cy="340487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116" cy="341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37D" w:rsidRPr="009D30CD" w:rsidRDefault="00E2037D" w:rsidP="00E2037D">
      <w:pPr>
        <w:pStyle w:val="Header"/>
        <w:tabs>
          <w:tab w:val="clear" w:pos="9360"/>
        </w:tabs>
        <w:ind w:left="360"/>
        <w:rPr>
          <w:sz w:val="22"/>
          <w:szCs w:val="22"/>
        </w:rPr>
      </w:pPr>
    </w:p>
    <w:p w:rsidR="00E2037D" w:rsidRPr="009D30CD" w:rsidRDefault="00E2037D" w:rsidP="00E2037D">
      <w:pPr>
        <w:pStyle w:val="Header"/>
        <w:tabs>
          <w:tab w:val="clear" w:pos="9360"/>
        </w:tabs>
        <w:ind w:left="360"/>
        <w:rPr>
          <w:sz w:val="22"/>
          <w:szCs w:val="22"/>
        </w:rPr>
      </w:pPr>
    </w:p>
    <w:p w:rsidR="00E2037D" w:rsidRPr="009D30CD" w:rsidRDefault="00E2037D" w:rsidP="00E2037D">
      <w:pPr>
        <w:pStyle w:val="Header"/>
        <w:tabs>
          <w:tab w:val="clear" w:pos="9360"/>
        </w:tabs>
        <w:ind w:left="360"/>
        <w:rPr>
          <w:sz w:val="22"/>
          <w:szCs w:val="22"/>
        </w:rPr>
      </w:pPr>
    </w:p>
    <w:p w:rsidR="00E2037D" w:rsidRDefault="00AF26E9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>
            <wp:extent cx="5371106" cy="3021821"/>
            <wp:effectExtent l="0" t="0" r="127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Le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389" cy="302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E2037D" w:rsidRDefault="00E2037D" w:rsidP="00E2037D">
      <w:pPr>
        <w:pStyle w:val="Header"/>
        <w:tabs>
          <w:tab w:val="clear" w:pos="9360"/>
        </w:tabs>
        <w:ind w:left="360"/>
        <w:rPr>
          <w:i/>
          <w:sz w:val="22"/>
          <w:szCs w:val="22"/>
        </w:rPr>
      </w:pPr>
    </w:p>
    <w:p w:rsidR="00AF26E9" w:rsidRDefault="00AF26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22658" w:rsidRPr="00D22658" w:rsidRDefault="00D22658" w:rsidP="00D22658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>
        <w:rPr>
          <w:b/>
        </w:rPr>
        <w:lastRenderedPageBreak/>
        <w:t>Interlock Diagram</w:t>
      </w:r>
    </w:p>
    <w:p w:rsidR="00D22658" w:rsidRPr="00FE4B00" w:rsidRDefault="00FE4B00">
      <w:pPr>
        <w:spacing w:after="200" w:line="276" w:lineRule="auto"/>
      </w:pPr>
      <w:r>
        <w:t>The high voltage interlock circuit is a series circuit of the door interlock, emergency off, and computer high voltage button. There is also a separate interlock for the ion plasma, which is manually overridden during the working hours and turned off on weekends.</w:t>
      </w:r>
      <w:bookmarkStart w:id="0" w:name="_GoBack"/>
      <w:bookmarkEnd w:id="0"/>
    </w:p>
    <w:p w:rsidR="00D22658" w:rsidRDefault="00D22658">
      <w:pPr>
        <w:spacing w:after="200" w:line="276" w:lineRule="auto"/>
        <w:rPr>
          <w:b/>
        </w:rPr>
      </w:pPr>
    </w:p>
    <w:p w:rsidR="00D22658" w:rsidRDefault="00D22658">
      <w:pPr>
        <w:spacing w:after="200" w:line="276" w:lineRule="auto"/>
        <w:rPr>
          <w:b/>
        </w:rPr>
      </w:pPr>
    </w:p>
    <w:p w:rsidR="00D22658" w:rsidRDefault="00D2265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037D" w:rsidRDefault="00E2037D" w:rsidP="00D22658">
      <w:pPr>
        <w:pStyle w:val="Header"/>
        <w:tabs>
          <w:tab w:val="clear" w:pos="9360"/>
        </w:tabs>
        <w:rPr>
          <w:b/>
        </w:rPr>
      </w:pPr>
    </w:p>
    <w:p w:rsidR="00E2037D" w:rsidRPr="00DE0001" w:rsidRDefault="00E2037D" w:rsidP="00E2037D">
      <w:pPr>
        <w:pStyle w:val="BodyTextIndent2"/>
        <w:numPr>
          <w:ilvl w:val="0"/>
          <w:numId w:val="5"/>
        </w:numPr>
        <w:tabs>
          <w:tab w:val="left" w:pos="450"/>
        </w:tabs>
        <w:rPr>
          <w:b/>
        </w:rPr>
      </w:pPr>
      <w:r w:rsidRPr="00DE0001">
        <w:rPr>
          <w:b/>
        </w:rPr>
        <w:t>General conditions relating to the application: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 xml:space="preserve">The proposed work shall be performed in the manner specified </w:t>
      </w:r>
      <w:r w:rsidR="00BA73CA">
        <w:t xml:space="preserve">above and </w:t>
      </w:r>
      <w:r w:rsidR="00E2037D">
        <w:t>on RP-</w:t>
      </w:r>
      <w:r w:rsidR="00BA73CA">
        <w:t>81.0.</w:t>
      </w:r>
      <w:r>
        <w:t xml:space="preserve"> There shall be no changes in the approved procedures without the prior approval of Radiation Protection</w:t>
      </w:r>
      <w:r w:rsidR="00A70634">
        <w:t xml:space="preserve"> and/or the Radiation Protection Committee as appropriate.</w:t>
      </w:r>
      <w:r>
        <w:t xml:space="preserve"> RP shall be notified prior to a change in place of use of the equipment.</w:t>
      </w:r>
      <w:r>
        <w:br/>
      </w: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>The use of equipment shall be in conformity with the provisions of “M.I.T. A</w:t>
      </w:r>
      <w:r w:rsidR="00BA73CA">
        <w:t>ccelerator Radiation safety program”</w:t>
      </w:r>
      <w:r>
        <w:t>.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 xml:space="preserve">Routine operating of this equipment may not begin until RP has been notified and has conducted a thorough survey and given approval for operation. Additional surveys will be made by RP </w:t>
      </w:r>
      <w:r w:rsidR="00A70634">
        <w:t>annually</w:t>
      </w:r>
      <w:r>
        <w:t xml:space="preserve">, at which time adherence to the provisions of </w:t>
      </w:r>
      <w:r w:rsidR="00A70634">
        <w:t>this registration and supporting documents</w:t>
      </w:r>
      <w:r>
        <w:t xml:space="preserve"> will be determined.</w:t>
      </w:r>
    </w:p>
    <w:p w:rsidR="00C05AE1" w:rsidRDefault="00C05AE1" w:rsidP="00C05AE1">
      <w:pPr>
        <w:pStyle w:val="BodyTextIndent2"/>
        <w:ind w:left="720" w:hanging="360"/>
      </w:pPr>
    </w:p>
    <w:p w:rsidR="00C05AE1" w:rsidRDefault="00C05AE1" w:rsidP="00C05AE1">
      <w:pPr>
        <w:pStyle w:val="BodyTextIndent2"/>
        <w:numPr>
          <w:ilvl w:val="0"/>
          <w:numId w:val="6"/>
        </w:numPr>
        <w:tabs>
          <w:tab w:val="clear" w:pos="180"/>
        </w:tabs>
        <w:ind w:left="720" w:hanging="360"/>
      </w:pPr>
      <w:r>
        <w:t>RP shall be notified of any changes in personnel with this equipment. All personnel shall be appropriately trained by RP and the supervisor before working with the equipment.</w:t>
      </w:r>
    </w:p>
    <w:p w:rsidR="00C05AE1" w:rsidRDefault="00C05AE1" w:rsidP="00C05AE1">
      <w:pPr>
        <w:pStyle w:val="BodyTextIndent2"/>
        <w:ind w:left="720" w:hanging="360"/>
      </w:pPr>
    </w:p>
    <w:p w:rsidR="00626304" w:rsidRDefault="0062630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A70634" w:rsidRDefault="00A70634" w:rsidP="00C05AE1">
      <w:pPr>
        <w:pStyle w:val="BodyTextIndent2"/>
        <w:ind w:left="450" w:hanging="450"/>
      </w:pPr>
    </w:p>
    <w:p w:rsidR="00626304" w:rsidRDefault="00626304" w:rsidP="00C05AE1">
      <w:pPr>
        <w:pStyle w:val="BodyTextIndent2"/>
        <w:ind w:left="450" w:hanging="45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  <w:r w:rsidRPr="00DE0001">
        <w:rPr>
          <w:b/>
        </w:rPr>
        <w:t>1</w:t>
      </w:r>
      <w:r w:rsidR="00BA4EE7">
        <w:rPr>
          <w:b/>
        </w:rPr>
        <w:t>3</w:t>
      </w:r>
      <w:r w:rsidRPr="00DE0001">
        <w:rPr>
          <w:b/>
        </w:rPr>
        <w:t>.</w:t>
      </w:r>
      <w:r w:rsidRPr="00DE0001">
        <w:rPr>
          <w:b/>
        </w:rPr>
        <w:tab/>
        <w:t>Project Supervisor’s</w:t>
      </w:r>
      <w:r>
        <w:t xml:space="preserve"> Signature   _________________________   Date   ______________</w:t>
      </w:r>
    </w:p>
    <w:p w:rsidR="00626304" w:rsidRDefault="00626304" w:rsidP="00626304">
      <w:pPr>
        <w:pStyle w:val="BodyTextIndent2"/>
        <w:ind w:left="360" w:hanging="360"/>
      </w:pPr>
    </w:p>
    <w:p w:rsidR="00D22658" w:rsidRDefault="00D22658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  <w:r>
        <w:tab/>
      </w:r>
      <w:r w:rsidRPr="00DE0001">
        <w:rPr>
          <w:b/>
        </w:rPr>
        <w:t>Project Supervisor’s</w:t>
      </w:r>
      <w:r>
        <w:t xml:space="preserve"> Name (print)   ___________________________________________</w:t>
      </w: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p w:rsidR="00626304" w:rsidRDefault="00626304" w:rsidP="00626304">
      <w:pPr>
        <w:pStyle w:val="BodyTextIndent2"/>
        <w:ind w:left="360" w:hanging="360"/>
      </w:pPr>
    </w:p>
    <w:sectPr w:rsidR="00626304" w:rsidSect="0041398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C1" w:rsidRDefault="00FD7FC1" w:rsidP="007C0959">
      <w:r>
        <w:separator/>
      </w:r>
    </w:p>
  </w:endnote>
  <w:endnote w:type="continuationSeparator" w:id="0">
    <w:p w:rsidR="00FD7FC1" w:rsidRDefault="00FD7FC1" w:rsidP="007C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409918"/>
      <w:docPartObj>
        <w:docPartGallery w:val="Page Numbers (Bottom of Page)"/>
        <w:docPartUnique/>
      </w:docPartObj>
    </w:sdtPr>
    <w:sdtEndPr/>
    <w:sdtContent>
      <w:p w:rsidR="00A70634" w:rsidRDefault="00A75B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B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0634" w:rsidRDefault="00A70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C1" w:rsidRDefault="00FD7FC1" w:rsidP="007C0959">
      <w:r>
        <w:separator/>
      </w:r>
    </w:p>
  </w:footnote>
  <w:footnote w:type="continuationSeparator" w:id="0">
    <w:p w:rsidR="00FD7FC1" w:rsidRDefault="00FD7FC1" w:rsidP="007C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59" w:rsidRDefault="009D55CC" w:rsidP="007C0959">
    <w:pPr>
      <w:pStyle w:val="Header"/>
      <w:tabs>
        <w:tab w:val="clear" w:pos="4680"/>
        <w:tab w:val="clear" w:pos="9360"/>
      </w:tabs>
      <w:ind w:left="-720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RP-81.2</w:t>
    </w:r>
    <w:r w:rsidR="007C0959" w:rsidRPr="008914E3">
      <w:rPr>
        <w:rFonts w:ascii="Calibri" w:hAnsi="Calibri"/>
        <w:b/>
        <w:bCs/>
        <w:sz w:val="22"/>
        <w:szCs w:val="22"/>
      </w:rPr>
      <w:tab/>
    </w:r>
    <w:r>
      <w:rPr>
        <w:rFonts w:ascii="Calibri" w:hAnsi="Calibri"/>
        <w:b/>
        <w:bCs/>
        <w:sz w:val="22"/>
        <w:szCs w:val="22"/>
      </w:rPr>
      <w:t>Accelerator</w:t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</w:r>
    <w:r w:rsidR="007C0959">
      <w:rPr>
        <w:rFonts w:ascii="Calibri" w:hAnsi="Calibri"/>
        <w:b/>
        <w:bCs/>
        <w:sz w:val="22"/>
        <w:szCs w:val="22"/>
      </w:rPr>
      <w:tab/>
      <w:t xml:space="preserve"> Authorization Number</w:t>
    </w:r>
  </w:p>
  <w:p w:rsidR="007C0959" w:rsidRDefault="007C0959" w:rsidP="007C0959">
    <w:pPr>
      <w:pStyle w:val="Header"/>
      <w:ind w:hanging="720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Rev. 11/09</w:t>
    </w:r>
    <w:r>
      <w:rPr>
        <w:rFonts w:ascii="Calibri" w:hAnsi="Calibri"/>
        <w:b/>
        <w:bCs/>
        <w:sz w:val="22"/>
        <w:szCs w:val="22"/>
      </w:rPr>
      <w:tab/>
    </w:r>
    <w:r>
      <w:rPr>
        <w:rFonts w:ascii="Calibri" w:hAnsi="Calibri"/>
        <w:b/>
        <w:bCs/>
        <w:sz w:val="22"/>
        <w:szCs w:val="22"/>
      </w:rPr>
      <w:tab/>
      <w:t xml:space="preserve"> - ______-______</w:t>
    </w:r>
  </w:p>
  <w:p w:rsidR="007C0959" w:rsidRDefault="007C0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3D5"/>
    <w:multiLevelType w:val="hybridMultilevel"/>
    <w:tmpl w:val="2FAA0DE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FDC72F6"/>
    <w:multiLevelType w:val="hybridMultilevel"/>
    <w:tmpl w:val="716810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F0D63"/>
    <w:multiLevelType w:val="hybridMultilevel"/>
    <w:tmpl w:val="E0248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6D99"/>
    <w:multiLevelType w:val="multilevel"/>
    <w:tmpl w:val="1A32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81688"/>
    <w:multiLevelType w:val="hybridMultilevel"/>
    <w:tmpl w:val="6E3C53DC"/>
    <w:lvl w:ilvl="0" w:tplc="A95E091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05728"/>
    <w:multiLevelType w:val="hybridMultilevel"/>
    <w:tmpl w:val="2B747CA4"/>
    <w:lvl w:ilvl="0" w:tplc="C7F8EDF4">
      <w:start w:val="5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696E603F"/>
    <w:multiLevelType w:val="hybridMultilevel"/>
    <w:tmpl w:val="55F056B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59"/>
    <w:rsid w:val="000170E0"/>
    <w:rsid w:val="000609D1"/>
    <w:rsid w:val="00072CD8"/>
    <w:rsid w:val="00156BC9"/>
    <w:rsid w:val="00166AFB"/>
    <w:rsid w:val="00175E31"/>
    <w:rsid w:val="00212B43"/>
    <w:rsid w:val="003078D5"/>
    <w:rsid w:val="00316FDF"/>
    <w:rsid w:val="003E328B"/>
    <w:rsid w:val="00413980"/>
    <w:rsid w:val="004D50B6"/>
    <w:rsid w:val="005972BB"/>
    <w:rsid w:val="005B5DB4"/>
    <w:rsid w:val="006241CD"/>
    <w:rsid w:val="00626304"/>
    <w:rsid w:val="006B1E3E"/>
    <w:rsid w:val="006F3634"/>
    <w:rsid w:val="007115E7"/>
    <w:rsid w:val="00785786"/>
    <w:rsid w:val="007C0959"/>
    <w:rsid w:val="007C790E"/>
    <w:rsid w:val="008F70B5"/>
    <w:rsid w:val="0090737E"/>
    <w:rsid w:val="00910CE7"/>
    <w:rsid w:val="009646C9"/>
    <w:rsid w:val="009B11C3"/>
    <w:rsid w:val="009C68EA"/>
    <w:rsid w:val="009D30CD"/>
    <w:rsid w:val="009D55CC"/>
    <w:rsid w:val="00A06AD3"/>
    <w:rsid w:val="00A70634"/>
    <w:rsid w:val="00A71C9C"/>
    <w:rsid w:val="00A72182"/>
    <w:rsid w:val="00A75B5E"/>
    <w:rsid w:val="00A80D04"/>
    <w:rsid w:val="00AA6ECC"/>
    <w:rsid w:val="00AB5665"/>
    <w:rsid w:val="00AF26E9"/>
    <w:rsid w:val="00B16478"/>
    <w:rsid w:val="00B16B1A"/>
    <w:rsid w:val="00B23F54"/>
    <w:rsid w:val="00BA4EE7"/>
    <w:rsid w:val="00BA73CA"/>
    <w:rsid w:val="00C05AE1"/>
    <w:rsid w:val="00C14FA8"/>
    <w:rsid w:val="00C237BA"/>
    <w:rsid w:val="00C2790C"/>
    <w:rsid w:val="00C41513"/>
    <w:rsid w:val="00C54342"/>
    <w:rsid w:val="00CE09C3"/>
    <w:rsid w:val="00CF0C36"/>
    <w:rsid w:val="00CF7DA6"/>
    <w:rsid w:val="00D22658"/>
    <w:rsid w:val="00D32C67"/>
    <w:rsid w:val="00D81DD2"/>
    <w:rsid w:val="00D84158"/>
    <w:rsid w:val="00DC67EF"/>
    <w:rsid w:val="00E2037D"/>
    <w:rsid w:val="00E66521"/>
    <w:rsid w:val="00EA6B02"/>
    <w:rsid w:val="00EF4596"/>
    <w:rsid w:val="00F24100"/>
    <w:rsid w:val="00F54645"/>
    <w:rsid w:val="00F957C0"/>
    <w:rsid w:val="00FA04EA"/>
    <w:rsid w:val="00FB21D0"/>
    <w:rsid w:val="00FB5B07"/>
    <w:rsid w:val="00FD7FC1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7579-1AB5-4794-BAA4-5C34F1EC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C0959"/>
    <w:pPr>
      <w:ind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7C0959"/>
    <w:pPr>
      <w:ind w:left="1440" w:hanging="16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C09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0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C0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9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304"/>
    <w:pPr>
      <w:ind w:left="720"/>
      <w:contextualSpacing/>
    </w:pPr>
  </w:style>
  <w:style w:type="table" w:styleId="TableGrid">
    <w:name w:val="Table Grid"/>
    <w:basedOn w:val="TableNormal"/>
    <w:uiPriority w:val="59"/>
    <w:rsid w:val="00626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8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F. McWilliams</dc:creator>
  <cp:lastModifiedBy>mgcarey</cp:lastModifiedBy>
  <cp:revision>14</cp:revision>
  <dcterms:created xsi:type="dcterms:W3CDTF">2015-12-09T16:31:00Z</dcterms:created>
  <dcterms:modified xsi:type="dcterms:W3CDTF">2016-03-11T20:16:00Z</dcterms:modified>
</cp:coreProperties>
</file>